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B415130.100.f06 Veranda Daklicht / helder of warmtewerend veiligheidsglas</w:t>
      </w:r>
    </w:p>
    <w:p>
      <w:pPr>
        <w:pStyle w:val="BodyText"/>
        <w:tabs>
          <w:tab w:pos="874" w:val="left" w:leader="none"/>
        </w:tabs>
        <w:spacing w:before="124"/>
      </w:pPr>
      <w:r>
        <w:rPr>
          <w:color w:val="3E3E3E"/>
        </w:rPr>
        <w:t>01</w:t>
      </w:r>
      <w:r>
        <w:rPr>
          <w:rFonts w:asci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</w:t>
      </w:r>
      <w:r>
        <w:rPr>
          <w:color w:val="3E3E3E"/>
          <w:spacing w:val="9"/>
        </w:rPr>
        <w:t> </w:t>
      </w:r>
      <w:r>
        <w:rPr>
          <w:color w:val="3E3E3E"/>
        </w:rPr>
        <w:t>Vlakkelichtkoepel).</w:t>
      </w:r>
    </w:p>
    <w:p>
      <w:pPr>
        <w:pStyle w:val="BodyText"/>
        <w:tabs>
          <w:tab w:pos="874" w:val="left" w:leader="none"/>
        </w:tabs>
        <w:spacing w:line="319" w:lineRule="auto"/>
        <w:ind w:right="4359"/>
      </w:pPr>
      <w:r>
        <w:rPr>
          <w:color w:val="3E3E3E"/>
        </w:rPr>
        <w:t>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ongeı̈soleerde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5"/>
        <w:ind w:left="168" w:right="5857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uitvoering.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 enkelvoudig vlak</w:t>
      </w:r>
      <w:r>
        <w:rPr>
          <w:color w:val="3E3E3E"/>
          <w:spacing w:val="1"/>
        </w:rPr>
        <w:t> </w:t>
      </w:r>
      <w:r>
        <w:rPr>
          <w:color w:val="3E3E3E"/>
        </w:rPr>
        <w:t>raam.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</w:t>
      </w:r>
      <w:r>
        <w:rPr>
          <w:color w:val="3E3E3E"/>
          <w:spacing w:val="-3"/>
        </w:rPr>
        <w:t> </w:t>
      </w:r>
      <w:r>
        <w:rPr>
          <w:color w:val="3E3E3E"/>
        </w:rPr>
        <w:t>vierkant.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66" w:after="0"/>
        <w:ind w:left="168" w:right="5017" w:firstLine="0"/>
        <w:jc w:val="left"/>
        <w:rPr>
          <w:sz w:val="16"/>
        </w:rPr>
      </w:pPr>
      <w:r>
        <w:rPr>
          <w:color w:val="3E3E3E"/>
          <w:sz w:val="16"/>
        </w:rPr>
        <w:t>Raambreedte (mm): 500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             Raambreedte (mm): 2.050 (dagmaat = dakuitsparing). 06             Raambreedte (mm): 2.100 (dagmaat = dakuitsparing). 06             Raambreedte (mm): 2.150 (dagmaat = dakuitsparing). 06             Raambreedte (mm): 2.200 (dagmaat = dakuitsparing). 06             Raambreedte (mm): 2.250 (dagmaat = dakuitsparing). 06             Raambreedte (mm): 2.300 (dagmaat = dakuitsparing). 06             Raambreedte (mm): 2.350 (dagmaat = dakuitsparing). 06             Raambreedte (mm): 2.400 (dagmaat = dakuitsparing). 06             Raambreedte (mm): 2.450 (dagmaat = dakuitsparing). 06             Raambreedte (mm): 2.500 (dagmaat = dakuitsparing). 06             Raambreedte (mm): 2.550 (dagmaat = dakuitsparing). 06             Raambreedte (mm): 2.600 (dagmaat = dakuitsparing). 06             Raambreedte (mm): 2.650 (dagmaat = dakuitsparing). 06             Raambreedte (mm): 2.700 (dagmaat = dakuitsparing). 06             Raambreedte (mm): 2.750 (dagmaat = dakuitsparing). 06             Raambreedte (mm): 2.800 (dagmaat = dakuitsparing). 06 Raambreedte (mm): 2.850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1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5017" w:firstLine="0"/>
        <w:jc w:val="both"/>
        <w:rPr>
          <w:sz w:val="16"/>
        </w:rPr>
      </w:pPr>
      <w:r>
        <w:rPr>
          <w:color w:val="3E3E3E"/>
          <w:sz w:val="16"/>
        </w:rPr>
        <w:t>Raambreedte (mm): 2.900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4" w:after="0"/>
        <w:ind w:left="168" w:right="5113" w:firstLine="0"/>
        <w:jc w:val="left"/>
        <w:rPr>
          <w:sz w:val="16"/>
        </w:rPr>
      </w:pPr>
      <w:r>
        <w:rPr>
          <w:color w:val="3E3E3E"/>
          <w:sz w:val="16"/>
        </w:rPr>
        <w:t>Raamdiepte (mm): 500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550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2.000 (dagmaat = dakuitsparing). 07 Raamdiepte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before="9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87</w:t>
      </w:r>
      <w:r>
        <w:rPr>
          <w:color w:val="3E3E3E"/>
          <w:spacing w:val="6"/>
        </w:rPr>
        <w:t> </w:t>
      </w:r>
      <w:r>
        <w:rPr>
          <w:color w:val="3E3E3E"/>
        </w:rPr>
        <w:t>(helder).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73</w:t>
      </w:r>
      <w:r>
        <w:rPr>
          <w:color w:val="3E3E3E"/>
          <w:spacing w:val="7"/>
        </w:rPr>
        <w:t> </w:t>
      </w:r>
      <w:r>
        <w:rPr>
          <w:color w:val="3E3E3E"/>
        </w:rPr>
        <w:t>(warmtewerend).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77</w:t>
      </w:r>
      <w:r>
        <w:rPr>
          <w:color w:val="3E3E3E"/>
          <w:spacing w:val="14"/>
        </w:rPr>
        <w:t> </w:t>
      </w:r>
      <w:r>
        <w:rPr>
          <w:color w:val="3E3E3E"/>
        </w:rPr>
        <w:t>(helder).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36</w:t>
      </w:r>
      <w:r>
        <w:rPr>
          <w:color w:val="3E3E3E"/>
          <w:spacing w:val="15"/>
        </w:rPr>
        <w:t> </w:t>
      </w:r>
      <w:r>
        <w:rPr>
          <w:color w:val="3E3E3E"/>
        </w:rPr>
        <w:t>(warmtewerend).</w:t>
      </w:r>
    </w:p>
    <w:p>
      <w:pPr>
        <w:spacing w:after="0"/>
        <w:sectPr>
          <w:pgSz w:w="11900" w:h="16840"/>
          <w:pgMar w:header="0" w:footer="113" w:top="1020" w:bottom="300" w:left="1060" w:right="1140"/>
        </w:sectPr>
      </w:pPr>
    </w:p>
    <w:p>
      <w:pPr>
        <w:pStyle w:val="BodyText"/>
        <w:tabs>
          <w:tab w:pos="874" w:val="left" w:leader="none"/>
        </w:tabs>
        <w:spacing w:before="90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19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Hellingshoek glas t.o.v. bovenzijde opstand (°):</w:t>
      </w:r>
      <w:r>
        <w:rPr>
          <w:color w:val="3E3E3E"/>
          <w:spacing w:val="9"/>
        </w:rPr>
        <w:t> </w:t>
      </w:r>
      <w:r>
        <w:rPr>
          <w:color w:val="3E3E3E"/>
        </w:rPr>
        <w:t>3.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thermisch gemodificeerd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grenen.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140­250.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12.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gelaagd veiligheidsglas 1(B)1, glasdikte 12</w:t>
      </w:r>
      <w:r>
        <w:rPr>
          <w:color w:val="3E3E3E"/>
          <w:spacing w:val="10"/>
          <w:sz w:val="16"/>
        </w:rPr>
        <w:t> </w:t>
      </w:r>
      <w:r>
        <w:rPr>
          <w:color w:val="3E3E3E"/>
          <w:sz w:val="16"/>
        </w:rPr>
        <w:t>mm.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326" w:lineRule="auto" w:before="66" w:after="0"/>
        <w:ind w:left="168" w:right="106" w:firstLine="0"/>
        <w:jc w:val="left"/>
        <w:rPr>
          <w:sz w:val="16"/>
        </w:rPr>
      </w:pPr>
      <w:r>
        <w:rPr>
          <w:color w:val="3E3E3E"/>
          <w:sz w:val="16"/>
        </w:rPr>
        <w:t>Glas (EN 1279­5): gelaagd veiligheidsglas 1(B)1, glasdikte 12 mm (warmtewerend glas tot maximale breedte van  3000 mm). 30</w:t>
      </w:r>
      <w:r>
        <w:rPr>
          <w:rFonts w:ascii="Times New Roman" w:hAnsi="Times New Roman"/>
          <w:color w:val="3E3E3E"/>
          <w:sz w:val="16"/>
        </w:rPr>
        <w:tab/>
      </w:r>
      <w:r>
        <w:rPr>
          <w:color w:val="3E3E3E"/>
          <w:sz w:val="16"/>
        </w:rPr>
        <w:t>Glas (EN 1279­5):</w:t>
      </w:r>
      <w:r>
        <w:rPr>
          <w:color w:val="3E3E3E"/>
          <w:spacing w:val="-1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181" w:lineRule="exact" w:before="0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onbehandeld.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 aan dak, stalen</w:t>
      </w:r>
      <w:r>
        <w:rPr>
          <w:color w:val="3E3E3E"/>
          <w:spacing w:val="12"/>
        </w:rPr>
        <w:t> </w:t>
      </w:r>
      <w:r>
        <w:rPr>
          <w:color w:val="3E3E3E"/>
        </w:rPr>
        <w:t>bevestigingshoeken.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0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  <w:spacing w:line="326" w:lineRule="auto"/>
        <w:ind w:right="367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28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0"/>
      <w:numFmt w:val="decimal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2" w:hanging="706"/>
      </w:pPr>
      <w:rPr>
        <w:rFonts w:hint="default"/>
      </w:rPr>
    </w:lvl>
  </w:abstractNum>
  <w:abstractNum w:abstractNumId="4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706"/>
      </w:pPr>
      <w:rPr>
        <w:rFonts w:hint="default"/>
      </w:rPr>
    </w:lvl>
  </w:abstractNum>
  <w:abstractNum w:abstractNumId="3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706"/>
      </w:pPr>
      <w:rPr>
        <w:rFonts w:hint="default"/>
      </w:rPr>
    </w:lvl>
  </w:abstractNum>
  <w:abstractNum w:abstractNumId="2">
    <w:multiLevelType w:val="hybridMultilevel"/>
    <w:lvl w:ilvl="0">
      <w:start w:val="21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position w:val="3"/>
        <w:sz w:val="16"/>
        <w:szCs w:val="16"/>
      </w:rPr>
    </w:lvl>
    <w:lvl w:ilvl="1">
      <w:start w:val="0"/>
      <w:numFmt w:val="bullet"/>
      <w:lvlText w:val="•"/>
      <w:lvlJc w:val="left"/>
      <w:pPr>
        <w:ind w:left="176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2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706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2019-10-22T07:03:47Z</dcterms:created>
  <dcterms:modified xsi:type="dcterms:W3CDTF">2019-10-22T07:03:47Z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